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" w:right="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Улсын дээд шүүхийн нийт шүүгчийн хуралдааны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" w:right="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2024 оны 05 дугаар сарын 20-ны адрийн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" w:right="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23 дугаар тогтоолын 2 дугаар хавсралт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" w:right="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" w:right="0" w:firstLine="0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Дүүргийн Эрүү, Иргэний хэргийн хялбар ажиллагааны анхан шатны тойргийн шүүх-д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" w:right="0" w:firstLine="0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" w:right="0" w:firstLine="0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/Огноо/</w:t>
        <w:tab/>
        <w:tab/>
        <w:tab/>
        <w:tab/>
        <w:tab/>
        <w:tab/>
        <w:tab/>
        <w:tab/>
        <w:tab/>
        <w:t xml:space="preserve">Улаанбаатар хот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" w:right="0" w:firstLine="0"/>
        <w:jc w:val="left"/>
        <w:rPr>
          <w:rFonts w:ascii="Arial" w:cs="Arial" w:eastAsia="Arial" w:hAnsi="Arial"/>
          <w:sz w:val="21"/>
          <w:szCs w:val="21"/>
        </w:rPr>
        <w:sectPr>
          <w:pgSz w:h="15840" w:w="12240" w:orient="portrait"/>
          <w:pgMar w:bottom="280" w:top="680" w:left="1080" w:right="108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71" w:line="259" w:lineRule="auto"/>
        <w:ind w:left="346" w:right="181" w:firstLine="720"/>
        <w:jc w:val="both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Иргэний хэрэг шүүхэд хянан шиидвэрлЭх тухай хуулийн 755 4-д заасны дагуу үндсэн ба сөрөг нэхэмжлэлийг гардан авснаас хойш 5 хүртэл хоногийн дотор нэхэмжлэлийн шаардлагыг зөвшөөрсөн, эсхүл татгалзсан үндэслэл, түүнийг нотлох баримтаа шүүхэд ирүүлэх үүрэгтэй Хэрэв энэ үүргээ биелүүлээгүй бол тус хуулийн 72 3-т заасны дагуу нэхэмжлэлийн шаардлагыг хүлээн зөвшөөрсөнд тооцох эрх зүйн үр дагавартайг анхаарна УУ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" w:line="24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"/>
        </w:numPr>
        <w:tabs>
          <w:tab w:val="left" w:leader="none" w:pos="1078"/>
        </w:tabs>
        <w:spacing w:after="0" w:before="0" w:line="240" w:lineRule="auto"/>
        <w:ind w:left="1078" w:right="0" w:hanging="292"/>
        <w:jc w:val="left"/>
        <w:rPr/>
      </w:pPr>
      <w:r w:rsidDel="00000000" w:rsidR="00000000" w:rsidRPr="00000000">
        <w:rPr>
          <w:rtl w:val="0"/>
        </w:rPr>
        <w:t xml:space="preserve">Нэхэмжлэлийн шаардлагыг зөвшөөрөх эсэх: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4"/>
        </w:tabs>
        <w:spacing w:after="0" w:before="0" w:line="240" w:lineRule="auto"/>
        <w:ind w:left="1804" w:right="0" w:hanging="311.999999999999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Бүхэлд нь хүлээн зөвшөөрч байна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4"/>
        </w:tabs>
        <w:spacing w:after="0" w:before="54" w:line="240" w:lineRule="auto"/>
        <w:ind w:left="1804" w:right="0" w:hanging="311.999999999999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Бүхэлд нь хүлээн зөвшөөрөхгүй байна.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9"/>
        </w:tabs>
        <w:spacing w:after="0" w:before="54" w:line="240" w:lineRule="auto"/>
        <w:ind w:left="1799" w:right="0" w:hanging="306.999999999999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Зарим хэсгийг зөвшөөрч, үлдэх хэсгийг татгалзаж байна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tabs>
          <w:tab w:val="left" w:leader="none" w:pos="1078"/>
        </w:tabs>
        <w:spacing w:after="0" w:before="1" w:line="240" w:lineRule="auto"/>
        <w:ind w:left="1078" w:right="0" w:hanging="296.0000000000001"/>
        <w:jc w:val="left"/>
        <w:rPr/>
      </w:pPr>
      <w:r w:rsidDel="00000000" w:rsidR="00000000" w:rsidRPr="00000000">
        <w:rPr>
          <w:rtl w:val="0"/>
        </w:rPr>
        <w:t xml:space="preserve">Нэхэмжлэлийн шаардлагыг дараах үндэслэлээр татгалзаж байна: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4"/>
        </w:tabs>
        <w:spacing w:after="0" w:before="0" w:line="240" w:lineRule="auto"/>
        <w:ind w:left="1804" w:right="0" w:hanging="311.999999999999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Нэхэмжпэлийн шаардлагыг биелүүлсэн буюу үүргийг бүрэн гүйцэтгэсэн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4"/>
        </w:tabs>
        <w:spacing w:after="0" w:before="56" w:line="240" w:lineRule="auto"/>
        <w:ind w:left="1804" w:right="0" w:hanging="311.999999999999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Нэхэмжлэлд заасан үүрэг үүсээгүй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4"/>
        </w:tabs>
        <w:spacing w:after="0" w:before="57" w:line="240" w:lineRule="auto"/>
        <w:ind w:left="1804" w:right="0" w:hanging="311.999999999999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Нэхэмжлэлд заасан үүрэг үүссэн боловч энэ нь хүчин төгөлдөр бус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8"/>
          <w:tab w:val="left" w:leader="none" w:pos="1804"/>
        </w:tabs>
        <w:spacing w:after="0" w:before="54" w:line="290" w:lineRule="auto"/>
        <w:ind w:left="1498" w:right="2549" w:hanging="5.999999999999943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Нэхэмжлэлд заасан үүргийг гүйцэтгэх хугацаа болоогүй. П Нэхэмжлэлд заасан үүргийг өөр этгээд гүйцэтгэнэ.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4"/>
        </w:tabs>
        <w:spacing w:after="0" w:before="5" w:line="240" w:lineRule="auto"/>
        <w:ind w:left="1804" w:right="0" w:hanging="311.999999999999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Нэхэмжлэгч эхэлж өөр үүргийг гүйцэтгэх ёстой.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4"/>
        </w:tabs>
        <w:spacing w:after="0" w:before="40" w:line="240" w:lineRule="auto"/>
        <w:ind w:left="1804" w:right="0" w:hanging="298.0000000000001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Нэхэмжлэгч үүргээ эөрчсөн тул хариу үүргийг гүйцэтгэхгүй.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89"/>
        </w:tabs>
        <w:spacing w:after="0" w:before="46" w:line="240" w:lineRule="auto"/>
        <w:ind w:left="1789" w:right="0" w:hanging="283.0000000000001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Талууд гэрээнээс татгалзсан тул гэрээг биелүүлэх боломжгүй.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8"/>
        </w:tabs>
        <w:spacing w:after="0" w:before="51" w:line="240" w:lineRule="auto"/>
        <w:ind w:left="1808" w:right="0" w:hanging="301.999999999999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Гэрээ цуцлагдсан тул гэрээг биелүүлэх боломжгүй.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9"/>
        </w:tabs>
        <w:spacing w:after="0" w:before="44" w:line="240" w:lineRule="auto"/>
        <w:ind w:left="1799" w:right="0" w:hanging="293.0000000000001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Энэ асуудлаар хүчин төгөлдөр шүүхийн шийдвэр байгаа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76"/>
        </w:tabs>
        <w:spacing w:after="0" w:before="42" w:line="273" w:lineRule="auto"/>
        <w:ind w:left="1776" w:right="183" w:hanging="27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Энэ асуудлаарх хэрэг маргааныг шүүх хянан шийдвэрлэх ажиллагаа явагдаж байгаа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4"/>
        </w:tabs>
        <w:spacing w:after="0" w:before="0" w:line="240" w:lineRule="auto"/>
        <w:ind w:left="1804" w:right="0" w:hanging="298.0000000000001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Бусад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tabs>
          <w:tab w:val="left" w:leader="none" w:pos="1078"/>
        </w:tabs>
        <w:spacing w:after="0" w:before="1" w:line="240" w:lineRule="auto"/>
        <w:ind w:left="1078" w:right="0" w:hanging="296.0000000000001"/>
        <w:jc w:val="left"/>
        <w:rPr/>
      </w:pPr>
      <w:r w:rsidDel="00000000" w:rsidR="00000000" w:rsidRPr="00000000">
        <w:rPr>
          <w:rtl w:val="0"/>
        </w:rPr>
        <w:t xml:space="preserve">Нэхэмжлэгчтэйгээ эвлэрэн хэлэлцэх хүсэлтэй юу?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4"/>
        </w:tabs>
        <w:spacing w:after="0" w:before="0" w:line="240" w:lineRule="auto"/>
        <w:ind w:left="1794" w:right="0" w:hanging="288.0000000000001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Тийм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89"/>
        </w:tabs>
        <w:spacing w:after="0" w:before="62" w:line="240" w:lineRule="auto"/>
        <w:ind w:left="1789" w:right="0" w:hanging="283.0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Үгүй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1"/>
        </w:numPr>
        <w:tabs>
          <w:tab w:val="left" w:leader="none" w:pos="910"/>
          <w:tab w:val="left" w:leader="none" w:pos="916"/>
        </w:tabs>
        <w:spacing w:after="0" w:before="0" w:line="271" w:lineRule="auto"/>
        <w:ind w:left="916" w:right="202" w:hanging="282"/>
        <w:jc w:val="left"/>
        <w:rPr/>
      </w:pPr>
      <w:r w:rsidDel="00000000" w:rsidR="00000000" w:rsidRPr="00000000">
        <w:rPr>
          <w:rtl w:val="0"/>
        </w:rPr>
        <w:t xml:space="preserve">Хариу тайлбарын үндэслэл, үйл баримт, хэрэгт ач холбогдолтой гэж үзсэн нөхцөл байдлын талаар 300 үгэнд багтаан бичиж хавсаргана уу.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0"/>
        </w:tabs>
        <w:spacing w:after="0" w:before="150" w:line="240" w:lineRule="auto"/>
        <w:ind w:left="910" w:right="0" w:hanging="272"/>
        <w:jc w:val="left"/>
        <w:rPr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Хариу тайлбарт хавсаргасан баримтын жагсаалтыг хавсаргана уу.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" w:right="1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ГАРЫН ҮСЭГ</w:t>
      </w:r>
    </w:p>
    <w:sectPr>
      <w:type w:val="continuous"/>
      <w:pgSz w:h="15840" w:w="12240" w:orient="portrait"/>
      <w:pgMar w:bottom="280" w:top="680" w:left="1080" w:right="10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294"/>
      </w:pPr>
      <w:rPr>
        <w:rFonts w:ascii="Arial" w:cs="Arial" w:eastAsia="Arial" w:hAnsi="Arial"/>
        <w:b w:val="1"/>
        <w:i w:val="0"/>
        <w:sz w:val="21"/>
        <w:szCs w:val="21"/>
      </w:rPr>
    </w:lvl>
    <w:lvl w:ilvl="1">
      <w:start w:val="0"/>
      <w:numFmt w:val="bullet"/>
      <w:lvlText w:val="□"/>
      <w:lvlJc w:val="left"/>
      <w:pPr>
        <w:ind w:left="1794" w:hanging="289"/>
      </w:pPr>
      <w:rPr>
        <w:rFonts w:ascii="Helvetica Neue" w:cs="Helvetica Neue" w:eastAsia="Helvetica Neue" w:hAnsi="Helvetica Neue"/>
      </w:rPr>
    </w:lvl>
    <w:lvl w:ilvl="2">
      <w:start w:val="0"/>
      <w:numFmt w:val="bullet"/>
      <w:lvlText w:val="•"/>
      <w:lvlJc w:val="left"/>
      <w:pPr>
        <w:ind w:left="1800" w:hanging="289"/>
      </w:pPr>
      <w:rPr/>
    </w:lvl>
    <w:lvl w:ilvl="3">
      <w:start w:val="0"/>
      <w:numFmt w:val="bullet"/>
      <w:lvlText w:val="•"/>
      <w:lvlJc w:val="left"/>
      <w:pPr>
        <w:ind w:left="2835" w:hanging="289"/>
      </w:pPr>
      <w:rPr/>
    </w:lvl>
    <w:lvl w:ilvl="4">
      <w:start w:val="0"/>
      <w:numFmt w:val="bullet"/>
      <w:lvlText w:val="•"/>
      <w:lvlJc w:val="left"/>
      <w:pPr>
        <w:ind w:left="3870" w:hanging="289"/>
      </w:pPr>
      <w:rPr/>
    </w:lvl>
    <w:lvl w:ilvl="5">
      <w:start w:val="0"/>
      <w:numFmt w:val="bullet"/>
      <w:lvlText w:val="•"/>
      <w:lvlJc w:val="left"/>
      <w:pPr>
        <w:ind w:left="4905" w:hanging="289"/>
      </w:pPr>
      <w:rPr/>
    </w:lvl>
    <w:lvl w:ilvl="6">
      <w:start w:val="0"/>
      <w:numFmt w:val="bullet"/>
      <w:lvlText w:val="•"/>
      <w:lvlJc w:val="left"/>
      <w:pPr>
        <w:ind w:left="5940" w:hanging="289"/>
      </w:pPr>
      <w:rPr/>
    </w:lvl>
    <w:lvl w:ilvl="7">
      <w:start w:val="0"/>
      <w:numFmt w:val="bullet"/>
      <w:lvlText w:val="•"/>
      <w:lvlJc w:val="left"/>
      <w:pPr>
        <w:ind w:left="6975" w:hanging="289"/>
      </w:pPr>
      <w:rPr/>
    </w:lvl>
    <w:lvl w:ilvl="8">
      <w:start w:val="0"/>
      <w:numFmt w:val="bullet"/>
      <w:lvlText w:val="•"/>
      <w:lvlJc w:val="left"/>
      <w:pPr>
        <w:ind w:left="8010" w:hanging="28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kk-K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78" w:hanging="296.0000000000001"/>
    </w:pPr>
    <w:rPr>
      <w:rFonts w:ascii="Arial" w:cs="Arial" w:eastAsia="Arial" w:hAnsi="Arial"/>
      <w:b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ind w:right="1469"/>
      <w:jc w:val="right"/>
    </w:pPr>
    <w:rPr>
      <w:rFonts w:ascii="SimSun" w:cs="SimSun" w:eastAsia="SimSun" w:hAnsi="SimSun"/>
      <w:sz w:val="47"/>
      <w:szCs w:val="4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Microsoft Sans Serif" w:cs="Microsoft Sans Serif" w:eastAsia="Microsoft Sans Serif" w:hAnsi="Microsoft Sans Serif"/>
      <w:lang w:bidi="ar-SA" w:eastAsia="en-US" w:val="kk-KZ"/>
    </w:rPr>
  </w:style>
  <w:style w:type="paragraph" w:styleId="BodyText">
    <w:name w:val="Body Text"/>
    <w:basedOn w:val="Normal"/>
    <w:uiPriority w:val="1"/>
    <w:qFormat w:val="1"/>
    <w:pPr/>
    <w:rPr>
      <w:rFonts w:ascii="Microsoft Sans Serif" w:cs="Microsoft Sans Serif" w:eastAsia="Microsoft Sans Serif" w:hAnsi="Microsoft Sans Serif"/>
      <w:sz w:val="21"/>
      <w:szCs w:val="21"/>
      <w:lang w:bidi="ar-SA" w:eastAsia="en-US" w:val="kk-KZ"/>
    </w:rPr>
  </w:style>
  <w:style w:type="paragraph" w:styleId="Heading1">
    <w:name w:val="Heading 1"/>
    <w:basedOn w:val="Normal"/>
    <w:uiPriority w:val="1"/>
    <w:qFormat w:val="1"/>
    <w:pPr>
      <w:ind w:left="1078" w:hanging="296"/>
      <w:outlineLvl w:val="1"/>
    </w:pPr>
    <w:rPr>
      <w:rFonts w:ascii="Arial" w:cs="Arial" w:eastAsia="Arial" w:hAnsi="Arial"/>
      <w:b w:val="1"/>
      <w:bCs w:val="1"/>
      <w:sz w:val="21"/>
      <w:szCs w:val="21"/>
      <w:lang w:bidi="ar-SA" w:eastAsia="en-US" w:val="kk-KZ"/>
    </w:rPr>
  </w:style>
  <w:style w:type="paragraph" w:styleId="Title">
    <w:name w:val="Title"/>
    <w:basedOn w:val="Normal"/>
    <w:uiPriority w:val="1"/>
    <w:qFormat w:val="1"/>
    <w:pPr>
      <w:spacing w:before="12"/>
      <w:ind w:right="1469"/>
      <w:jc w:val="right"/>
    </w:pPr>
    <w:rPr>
      <w:rFonts w:ascii="SimSun" w:cs="SimSun" w:eastAsia="SimSun" w:hAnsi="SimSun"/>
      <w:sz w:val="47"/>
      <w:szCs w:val="47"/>
      <w:lang w:bidi="ar-SA" w:eastAsia="en-US" w:val="kk-KZ"/>
    </w:rPr>
  </w:style>
  <w:style w:type="paragraph" w:styleId="ListParagraph">
    <w:name w:val="List Paragraph"/>
    <w:basedOn w:val="Normal"/>
    <w:uiPriority w:val="1"/>
    <w:qFormat w:val="1"/>
    <w:pPr>
      <w:ind w:left="1804" w:hanging="312"/>
    </w:pPr>
    <w:rPr>
      <w:rFonts w:ascii="Microsoft Sans Serif" w:cs="Microsoft Sans Serif" w:eastAsia="Microsoft Sans Serif" w:hAnsi="Microsoft Sans Serif"/>
      <w:lang w:bidi="ar-SA" w:eastAsia="en-US" w:val="kk-KZ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kk-K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Tm2taaWLSwCOmbnPfQaPQx40w==">CgMxLjA4AHIhMU03b1RCRTBUQUhVWS15NW5qMHpzNDBiaWdiX05Fa0pm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2025-02-17T04:12:50Z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ABBYY FineReader 11</vt:lpwstr>
  </property>
</Properties>
</file>